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22" w:type="dxa"/>
        <w:tblCellMar>
          <w:left w:w="0" w:type="dxa"/>
          <w:right w:w="0" w:type="dxa"/>
        </w:tblCellMar>
        <w:tblLook w:val="04A0" w:firstRow="1" w:lastRow="0" w:firstColumn="1" w:lastColumn="0" w:noHBand="0" w:noVBand="1"/>
      </w:tblPr>
      <w:tblGrid>
        <w:gridCol w:w="8480"/>
      </w:tblGrid>
      <w:tr w:rsidR="008B3A7C" w:rsidRPr="008B3A7C" w:rsidTr="008B3A7C">
        <w:trPr>
          <w:tblCellSpacing w:w="22" w:type="dxa"/>
          <w:jc w:val="center"/>
        </w:trPr>
        <w:tc>
          <w:tcPr>
            <w:tcW w:w="0" w:type="auto"/>
            <w:vAlign w:val="center"/>
            <w:hideMark/>
          </w:tcPr>
          <w:tbl>
            <w:tblPr>
              <w:tblW w:w="50" w:type="pct"/>
              <w:jc w:val="center"/>
              <w:tblCellSpacing w:w="0" w:type="dxa"/>
              <w:tblCellMar>
                <w:left w:w="0" w:type="dxa"/>
                <w:right w:w="0" w:type="dxa"/>
              </w:tblCellMar>
              <w:tblLook w:val="04A0" w:firstRow="1" w:lastRow="0" w:firstColumn="1" w:lastColumn="0" w:noHBand="0" w:noVBand="1"/>
            </w:tblPr>
            <w:tblGrid>
              <w:gridCol w:w="2526"/>
            </w:tblGrid>
            <w:tr w:rsidR="008B3A7C" w:rsidRPr="008B3A7C">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31639C"/>
                  <w:tcMar>
                    <w:top w:w="90" w:type="dxa"/>
                    <w:left w:w="90" w:type="dxa"/>
                    <w:bottom w:w="90" w:type="dxa"/>
                    <w:right w:w="90" w:type="dxa"/>
                  </w:tcMar>
                  <w:vAlign w:val="center"/>
                  <w:hideMark/>
                </w:tcPr>
                <w:p w:rsidR="008B3A7C" w:rsidRPr="008B3A7C" w:rsidRDefault="008B3A7C" w:rsidP="008B3A7C">
                  <w:pPr>
                    <w:spacing w:after="0" w:line="240" w:lineRule="auto"/>
                    <w:jc w:val="center"/>
                    <w:rPr>
                      <w:rFonts w:ascii="Verdana" w:eastAsia="Times New Roman" w:hAnsi="Verdana" w:cs="Times New Roman"/>
                      <w:b/>
                      <w:bCs/>
                      <w:color w:val="FFFFFF"/>
                      <w:sz w:val="18"/>
                      <w:szCs w:val="18"/>
                      <w:lang w:eastAsia="es-MX"/>
                    </w:rPr>
                  </w:pPr>
                  <w:r w:rsidRPr="008B3A7C">
                    <w:rPr>
                      <w:rFonts w:ascii="Verdana" w:eastAsia="Times New Roman" w:hAnsi="Verdana" w:cs="Times New Roman"/>
                      <w:b/>
                      <w:bCs/>
                      <w:color w:val="FFFFFF"/>
                      <w:sz w:val="20"/>
                      <w:szCs w:val="20"/>
                      <w:shd w:val="clear" w:color="auto" w:fill="31639C"/>
                      <w:lang w:eastAsia="es-MX"/>
                    </w:rPr>
                    <w:t> Sentencia: 01920    Expediente: 03-011110-0007-CO     Fecha: 25/02/2004   Hora: 02:52:00 p.m.    Emitido por: Sala Constitucional</w:t>
                  </w:r>
                </w:p>
              </w:tc>
            </w:tr>
          </w:tbl>
          <w:p w:rsidR="008B3A7C" w:rsidRPr="008B3A7C" w:rsidRDefault="008B3A7C" w:rsidP="008B3A7C">
            <w:pPr>
              <w:spacing w:after="0" w:line="240" w:lineRule="auto"/>
              <w:jc w:val="center"/>
              <w:rPr>
                <w:rFonts w:ascii="Times New Roman" w:eastAsia="Times New Roman" w:hAnsi="Times New Roman" w:cs="Times New Roman"/>
                <w:color w:val="000000"/>
                <w:sz w:val="27"/>
                <w:szCs w:val="27"/>
                <w:lang w:eastAsia="es-MX"/>
              </w:rPr>
            </w:pPr>
          </w:p>
        </w:tc>
      </w:tr>
      <w:tr w:rsidR="008B3A7C" w:rsidRPr="008B3A7C" w:rsidTr="008B3A7C">
        <w:trPr>
          <w:tblCellSpacing w:w="22" w:type="dxa"/>
          <w:jc w:val="center"/>
        </w:trPr>
        <w:tc>
          <w:tcPr>
            <w:tcW w:w="0" w:type="auto"/>
            <w:vAlign w:val="center"/>
            <w:hideMark/>
          </w:tcPr>
          <w:p w:rsidR="008B3A7C" w:rsidRPr="008B3A7C" w:rsidRDefault="008B3A7C" w:rsidP="008B3A7C">
            <w:pPr>
              <w:spacing w:after="0" w:line="240" w:lineRule="auto"/>
              <w:rPr>
                <w:rFonts w:ascii="Times New Roman" w:eastAsia="Times New Roman" w:hAnsi="Times New Roman" w:cs="Times New Roman"/>
                <w:color w:val="000000"/>
                <w:sz w:val="27"/>
                <w:szCs w:val="27"/>
                <w:lang w:eastAsia="es-MX"/>
              </w:rPr>
            </w:pPr>
            <w:r w:rsidRPr="008B3A7C">
              <w:rPr>
                <w:rFonts w:ascii="Times New Roman" w:eastAsia="Times New Roman" w:hAnsi="Times New Roman" w:cs="Times New Roman"/>
                <w:color w:val="000000"/>
                <w:sz w:val="27"/>
                <w:szCs w:val="27"/>
                <w:lang w:eastAsia="es-MX"/>
              </w:rPr>
              <w:t> </w:t>
            </w:r>
          </w:p>
        </w:tc>
      </w:tr>
    </w:tbl>
    <w:p w:rsidR="008B3A7C" w:rsidRPr="008B3A7C" w:rsidRDefault="008B3A7C" w:rsidP="008B3A7C">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8B3A7C" w:rsidRPr="008B3A7C" w:rsidTr="008B3A7C">
        <w:trPr>
          <w:tblCellSpacing w:w="0" w:type="dxa"/>
          <w:jc w:val="center"/>
        </w:trPr>
        <w:tc>
          <w:tcPr>
            <w:tcW w:w="0" w:type="auto"/>
            <w:tcBorders>
              <w:bottom w:val="nil"/>
            </w:tcBorders>
            <w:vAlign w:val="center"/>
            <w:hideMark/>
          </w:tcPr>
          <w:p w:rsidR="008B3A7C" w:rsidRPr="008B3A7C" w:rsidRDefault="008B3A7C" w:rsidP="008B3A7C">
            <w:pPr>
              <w:spacing w:after="0" w:line="240" w:lineRule="auto"/>
              <w:rPr>
                <w:rFonts w:ascii="Times New Roman" w:eastAsia="Times New Roman" w:hAnsi="Times New Roman" w:cs="Times New Roman"/>
                <w:color w:val="000000"/>
                <w:sz w:val="27"/>
                <w:szCs w:val="27"/>
                <w:lang w:eastAsia="es-MX"/>
              </w:rPr>
            </w:pPr>
            <w:r w:rsidRPr="008B3A7C">
              <w:rPr>
                <w:rFonts w:ascii="Times New Roman" w:eastAsia="Times New Roman" w:hAnsi="Times New Roman" w:cs="Times New Roman"/>
                <w:b/>
                <w:bCs/>
                <w:color w:val="000000"/>
                <w:sz w:val="27"/>
                <w:szCs w:val="27"/>
                <w:lang w:eastAsia="es-MX"/>
              </w:rPr>
              <w:t>Tipo de Sentencia</w:t>
            </w:r>
            <w:r w:rsidRPr="008B3A7C">
              <w:rPr>
                <w:rFonts w:ascii="Times New Roman" w:eastAsia="Times New Roman" w:hAnsi="Times New Roman" w:cs="Times New Roman"/>
                <w:color w:val="000000"/>
                <w:sz w:val="27"/>
                <w:szCs w:val="27"/>
                <w:lang w:eastAsia="es-MX"/>
              </w:rPr>
              <w:t>:   De Fondo</w:t>
            </w:r>
          </w:p>
        </w:tc>
      </w:tr>
      <w:tr w:rsidR="008B3A7C" w:rsidRPr="008B3A7C" w:rsidTr="008B3A7C">
        <w:trPr>
          <w:tblCellSpacing w:w="0" w:type="dxa"/>
          <w:jc w:val="center"/>
        </w:trPr>
        <w:tc>
          <w:tcPr>
            <w:tcW w:w="0" w:type="auto"/>
            <w:tcBorders>
              <w:bottom w:val="nil"/>
            </w:tcBorders>
            <w:vAlign w:val="center"/>
            <w:hideMark/>
          </w:tcPr>
          <w:p w:rsidR="008B3A7C" w:rsidRPr="008B3A7C" w:rsidRDefault="008B3A7C" w:rsidP="008B3A7C">
            <w:pPr>
              <w:spacing w:after="0" w:line="240" w:lineRule="auto"/>
              <w:rPr>
                <w:rFonts w:ascii="Times New Roman" w:eastAsia="Times New Roman" w:hAnsi="Times New Roman" w:cs="Times New Roman"/>
                <w:color w:val="000000"/>
                <w:sz w:val="27"/>
                <w:szCs w:val="27"/>
                <w:lang w:eastAsia="es-MX"/>
              </w:rPr>
            </w:pPr>
            <w:r w:rsidRPr="008B3A7C">
              <w:rPr>
                <w:rFonts w:ascii="Times New Roman" w:eastAsia="Times New Roman" w:hAnsi="Times New Roman" w:cs="Times New Roman"/>
                <w:b/>
                <w:bCs/>
                <w:color w:val="000000"/>
                <w:sz w:val="27"/>
                <w:szCs w:val="27"/>
                <w:lang w:eastAsia="es-MX"/>
              </w:rPr>
              <w:t>Redactor:</w:t>
            </w:r>
            <w:r w:rsidRPr="008B3A7C">
              <w:rPr>
                <w:rFonts w:ascii="Times New Roman" w:eastAsia="Times New Roman" w:hAnsi="Times New Roman" w:cs="Times New Roman"/>
                <w:color w:val="000000"/>
                <w:sz w:val="27"/>
                <w:szCs w:val="27"/>
                <w:lang w:eastAsia="es-MX"/>
              </w:rPr>
              <w:t> Gilbert Armijo Sancho</w:t>
            </w:r>
          </w:p>
        </w:tc>
      </w:tr>
      <w:tr w:rsidR="008B3A7C" w:rsidRPr="008B3A7C" w:rsidTr="008B3A7C">
        <w:trPr>
          <w:tblCellSpacing w:w="0" w:type="dxa"/>
          <w:jc w:val="center"/>
        </w:trPr>
        <w:tc>
          <w:tcPr>
            <w:tcW w:w="0" w:type="auto"/>
            <w:tcBorders>
              <w:bottom w:val="nil"/>
            </w:tcBorders>
            <w:vAlign w:val="center"/>
            <w:hideMark/>
          </w:tcPr>
          <w:p w:rsidR="008B3A7C" w:rsidRPr="008B3A7C" w:rsidRDefault="008B3A7C" w:rsidP="008B3A7C">
            <w:pPr>
              <w:spacing w:after="0" w:line="240" w:lineRule="auto"/>
              <w:rPr>
                <w:rFonts w:ascii="Times New Roman" w:eastAsia="Times New Roman" w:hAnsi="Times New Roman" w:cs="Times New Roman"/>
                <w:color w:val="000000"/>
                <w:sz w:val="27"/>
                <w:szCs w:val="27"/>
                <w:lang w:eastAsia="es-MX"/>
              </w:rPr>
            </w:pPr>
            <w:r w:rsidRPr="008B3A7C">
              <w:rPr>
                <w:rFonts w:ascii="Times New Roman" w:eastAsia="Times New Roman" w:hAnsi="Times New Roman" w:cs="Times New Roman"/>
                <w:b/>
                <w:bCs/>
                <w:color w:val="000000"/>
                <w:sz w:val="27"/>
                <w:szCs w:val="27"/>
                <w:lang w:eastAsia="es-MX"/>
              </w:rPr>
              <w:t>Clase de Asunto:</w:t>
            </w:r>
            <w:r w:rsidRPr="008B3A7C">
              <w:rPr>
                <w:rFonts w:ascii="Times New Roman" w:eastAsia="Times New Roman" w:hAnsi="Times New Roman" w:cs="Times New Roman"/>
                <w:color w:val="000000"/>
                <w:sz w:val="27"/>
                <w:szCs w:val="27"/>
                <w:lang w:eastAsia="es-MX"/>
              </w:rPr>
              <w:t> Recurso de amparo</w:t>
            </w:r>
          </w:p>
        </w:tc>
      </w:tr>
    </w:tbl>
    <w:p w:rsidR="008B3A7C" w:rsidRPr="008B3A7C" w:rsidRDefault="008B3A7C" w:rsidP="008B3A7C">
      <w:pPr>
        <w:spacing w:after="0" w:line="240" w:lineRule="auto"/>
        <w:rPr>
          <w:rFonts w:ascii="Times New Roman" w:eastAsia="Times New Roman" w:hAnsi="Times New Roman" w:cs="Times New Roman"/>
          <w:sz w:val="24"/>
          <w:szCs w:val="24"/>
          <w:lang w:eastAsia="es-MX"/>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344"/>
        <w:gridCol w:w="316"/>
      </w:tblGrid>
      <w:tr w:rsidR="008B3A7C" w:rsidRPr="008B3A7C" w:rsidTr="008B3A7C">
        <w:trPr>
          <w:tblCellSpacing w:w="15" w:type="dxa"/>
        </w:trPr>
        <w:tc>
          <w:tcPr>
            <w:tcW w:w="0" w:type="auto"/>
            <w:vAlign w:val="center"/>
            <w:hideMark/>
          </w:tcPr>
          <w:p w:rsidR="008B3A7C" w:rsidRPr="008B3A7C" w:rsidRDefault="008B3A7C" w:rsidP="008B3A7C">
            <w:pPr>
              <w:spacing w:after="0" w:line="240" w:lineRule="auto"/>
              <w:rPr>
                <w:rFonts w:ascii="Verdana" w:eastAsia="Times New Roman" w:hAnsi="Verdana" w:cs="Times New Roman"/>
                <w:b/>
                <w:bCs/>
                <w:color w:val="000000"/>
                <w:sz w:val="16"/>
                <w:szCs w:val="16"/>
                <w:lang w:eastAsia="es-MX"/>
              </w:rPr>
            </w:pPr>
          </w:p>
        </w:tc>
        <w:tc>
          <w:tcPr>
            <w:tcW w:w="50" w:type="pct"/>
            <w:vAlign w:val="center"/>
            <w:hideMark/>
          </w:tcPr>
          <w:p w:rsidR="008B3A7C" w:rsidRPr="008B3A7C" w:rsidRDefault="00AD12C2" w:rsidP="008B3A7C">
            <w:pPr>
              <w:spacing w:after="0" w:line="240" w:lineRule="auto"/>
              <w:jc w:val="right"/>
              <w:rPr>
                <w:rFonts w:ascii="Times New Roman" w:eastAsia="Times New Roman" w:hAnsi="Times New Roman" w:cs="Times New Roman"/>
                <w:color w:val="000000"/>
                <w:sz w:val="27"/>
                <w:szCs w:val="27"/>
                <w:lang w:eastAsia="es-MX"/>
              </w:rPr>
            </w:pPr>
            <w:hyperlink r:id="rId5" w:anchor="down" w:history="1">
              <w:r w:rsidR="008B3A7C">
                <w:rPr>
                  <w:rFonts w:ascii="Times New Roman" w:eastAsia="Times New Roman" w:hAnsi="Times New Roman" w:cs="Times New Roman"/>
                  <w:noProof/>
                  <w:color w:val="000000"/>
                  <w:sz w:val="27"/>
                  <w:szCs w:val="27"/>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152400"/>
                    <wp:effectExtent l="0" t="0" r="9525" b="0"/>
                    <wp:wrapSquare wrapText="bothSides"/>
                    <wp:docPr id="1" name="Imagen 1" descr="Ir al final de los resulta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final de los resulta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8B3A7C" w:rsidRPr="008B3A7C" w:rsidRDefault="008B3A7C" w:rsidP="008B3A7C">
      <w:pPr>
        <w:spacing w:after="0" w:line="240" w:lineRule="auto"/>
        <w:jc w:val="both"/>
        <w:rPr>
          <w:rFonts w:ascii="Verdana" w:eastAsia="Times New Roman" w:hAnsi="Verdana" w:cs="Times New Roman"/>
          <w:vanish/>
          <w:color w:val="000000"/>
          <w:sz w:val="20"/>
          <w:szCs w:val="20"/>
          <w:lang w:eastAsia="es-MX"/>
        </w:rPr>
      </w:pPr>
      <w:bookmarkStart w:id="0" w:name="up"/>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8B3A7C" w:rsidRPr="008B3A7C" w:rsidTr="008B3A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0" w:type="dxa"/>
              <w:tblBorders>
                <w:top w:val="outset" w:sz="6" w:space="0" w:color="31639C"/>
                <w:left w:val="outset" w:sz="6" w:space="0" w:color="31639C"/>
                <w:bottom w:val="outset" w:sz="6" w:space="0" w:color="31639C"/>
                <w:right w:val="outset" w:sz="6" w:space="0" w:color="31639C"/>
              </w:tblBorders>
              <w:tblCellMar>
                <w:left w:w="0" w:type="dxa"/>
                <w:right w:w="0" w:type="dxa"/>
              </w:tblCellMar>
              <w:tblLook w:val="04A0" w:firstRow="1" w:lastRow="0" w:firstColumn="1" w:lastColumn="0" w:noHBand="0" w:noVBand="1"/>
            </w:tblPr>
            <w:tblGrid>
              <w:gridCol w:w="8381"/>
            </w:tblGrid>
            <w:tr w:rsidR="008B3A7C" w:rsidRPr="008B3A7C">
              <w:trPr>
                <w:tblCellSpacing w:w="0" w:type="dxa"/>
                <w:jc w:val="center"/>
              </w:trPr>
              <w:tc>
                <w:tcPr>
                  <w:tcW w:w="5000" w:type="pct"/>
                  <w:tcBorders>
                    <w:top w:val="outset" w:sz="6" w:space="0" w:color="31639C"/>
                    <w:left w:val="outset" w:sz="6" w:space="0" w:color="31639C"/>
                    <w:bottom w:val="outset" w:sz="6" w:space="0" w:color="31639C"/>
                    <w:right w:val="outset" w:sz="6" w:space="0" w:color="31639C"/>
                  </w:tcBorders>
                  <w:shd w:val="clear" w:color="auto" w:fill="31639C"/>
                  <w:tcMar>
                    <w:top w:w="45" w:type="dxa"/>
                    <w:left w:w="75" w:type="dxa"/>
                    <w:bottom w:w="45" w:type="dxa"/>
                    <w:right w:w="75" w:type="dxa"/>
                  </w:tcMar>
                  <w:vAlign w:val="center"/>
                  <w:hideMark/>
                </w:tcPr>
                <w:p w:rsidR="008B3A7C" w:rsidRPr="008B3A7C" w:rsidRDefault="008B3A7C" w:rsidP="008B3A7C">
                  <w:pPr>
                    <w:spacing w:after="0" w:line="240" w:lineRule="auto"/>
                    <w:rPr>
                      <w:rFonts w:ascii="Verdana" w:eastAsia="Times New Roman" w:hAnsi="Verdana" w:cs="Times New Roman"/>
                      <w:b/>
                      <w:bCs/>
                      <w:color w:val="FFFFFF"/>
                      <w:sz w:val="20"/>
                      <w:szCs w:val="20"/>
                      <w:lang w:eastAsia="es-MX"/>
                    </w:rPr>
                  </w:pPr>
                  <w:r w:rsidRPr="008B3A7C">
                    <w:rPr>
                      <w:rFonts w:ascii="Verdana" w:eastAsia="Times New Roman" w:hAnsi="Verdana" w:cs="Times New Roman"/>
                      <w:b/>
                      <w:bCs/>
                      <w:color w:val="FFFFFF"/>
                      <w:sz w:val="20"/>
                      <w:szCs w:val="20"/>
                      <w:lang w:eastAsia="es-MX"/>
                    </w:rPr>
                    <w:t>   Texto de la sentencia</w:t>
                  </w:r>
                </w:p>
              </w:tc>
            </w:tr>
            <w:tr w:rsidR="008B3A7C" w:rsidRPr="008B3A7C">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8B3A7C" w:rsidRPr="008B3A7C" w:rsidRDefault="008B3A7C" w:rsidP="008B3A7C">
                  <w:pPr>
                    <w:spacing w:after="0" w:line="240" w:lineRule="auto"/>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   Documentos relacionados:</w:t>
                  </w:r>
                  <w:r w:rsidRPr="008B3A7C">
                    <w:rPr>
                      <w:rFonts w:ascii="Verdana" w:eastAsia="Times New Roman" w:hAnsi="Verdana" w:cs="Times New Roman"/>
                      <w:color w:val="000000"/>
                      <w:sz w:val="20"/>
                      <w:szCs w:val="20"/>
                      <w:lang w:eastAsia="es-MX"/>
                    </w:rPr>
                    <w:t> </w:t>
                  </w:r>
                  <w:hyperlink r:id="rId8" w:tgtFrame="_top" w:history="1">
                    <w:r w:rsidRPr="008B3A7C">
                      <w:rPr>
                        <w:rFonts w:ascii="Verdana" w:eastAsia="Times New Roman" w:hAnsi="Verdana" w:cs="Times New Roman"/>
                        <w:color w:val="0000FF"/>
                        <w:sz w:val="20"/>
                        <w:szCs w:val="20"/>
                        <w:u w:val="single"/>
                        <w:lang w:eastAsia="es-MX"/>
                      </w:rPr>
                      <w:t>Referencia a otra jurisprudencia</w:t>
                    </w:r>
                  </w:hyperlink>
                </w:p>
              </w:tc>
            </w:tr>
            <w:tr w:rsidR="008B3A7C" w:rsidRPr="008B3A7C">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8B3A7C" w:rsidRPr="008B3A7C" w:rsidRDefault="008B3A7C" w:rsidP="008B3A7C">
                  <w:pPr>
                    <w:spacing w:after="0" w:line="240" w:lineRule="auto"/>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 </w:t>
                  </w:r>
                  <w:r w:rsidRPr="008B3A7C">
                    <w:rPr>
                      <w:rFonts w:ascii="Verdana" w:eastAsia="Times New Roman" w:hAnsi="Verdana" w:cs="Times New Roman"/>
                      <w:color w:val="000000"/>
                      <w:sz w:val="20"/>
                      <w:szCs w:val="20"/>
                      <w:lang w:eastAsia="es-MX"/>
                    </w:rPr>
                    <w:t> </w:t>
                  </w:r>
                  <w:hyperlink r:id="rId9" w:tgtFrame="_top" w:history="1">
                    <w:r w:rsidRPr="008B3A7C">
                      <w:rPr>
                        <w:rFonts w:ascii="Verdana" w:eastAsia="Times New Roman" w:hAnsi="Verdana" w:cs="Times New Roman"/>
                        <w:color w:val="0000FF"/>
                        <w:sz w:val="20"/>
                        <w:szCs w:val="20"/>
                        <w:u w:val="single"/>
                        <w:lang w:eastAsia="es-MX"/>
                      </w:rPr>
                      <w:t>Contenido de interés  1</w:t>
                    </w:r>
                  </w:hyperlink>
                </w:p>
              </w:tc>
            </w:tr>
            <w:tr w:rsidR="008B3A7C" w:rsidRPr="008B3A7C">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proofErr w:type="spellStart"/>
                  <w:r w:rsidRPr="008B3A7C">
                    <w:rPr>
                      <w:rFonts w:ascii="Verdana" w:eastAsia="Times New Roman" w:hAnsi="Verdana" w:cs="Times New Roman"/>
                      <w:b/>
                      <w:bCs/>
                      <w:color w:val="000000"/>
                      <w:sz w:val="20"/>
                      <w:szCs w:val="20"/>
                      <w:lang w:eastAsia="es-MX"/>
                    </w:rPr>
                    <w:t>Exp</w:t>
                  </w:r>
                  <w:proofErr w:type="spellEnd"/>
                  <w:r w:rsidRPr="008B3A7C">
                    <w:rPr>
                      <w:rFonts w:ascii="Verdana" w:eastAsia="Times New Roman" w:hAnsi="Verdana" w:cs="Times New Roman"/>
                      <w:b/>
                      <w:bCs/>
                      <w:color w:val="000000"/>
                      <w:sz w:val="20"/>
                      <w:szCs w:val="20"/>
                      <w:lang w:eastAsia="es-MX"/>
                    </w:rPr>
                    <w:t>: </w:t>
                  </w:r>
                  <w:r w:rsidRPr="008B3A7C">
                    <w:rPr>
                      <w:rFonts w:ascii="Verdana" w:eastAsia="Times New Roman" w:hAnsi="Verdana" w:cs="Times New Roman"/>
                      <w:color w:val="000000"/>
                      <w:sz w:val="20"/>
                      <w:szCs w:val="20"/>
                      <w:lang w:eastAsia="es-MX"/>
                    </w:rPr>
                    <w:t>03-011110-0007-CO</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Res: </w:t>
                  </w:r>
                  <w:r w:rsidRPr="008B3A7C">
                    <w:rPr>
                      <w:rFonts w:ascii="Verdana" w:eastAsia="Times New Roman" w:hAnsi="Verdana" w:cs="Times New Roman"/>
                      <w:color w:val="000000"/>
                      <w:sz w:val="20"/>
                      <w:szCs w:val="20"/>
                      <w:lang w:eastAsia="es-MX"/>
                    </w:rPr>
                    <w:t>2004-01920</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SALA CONSTITUCIONAL DE LA CORTE SUPREMA DE JUSTICIA.</w:t>
                  </w:r>
                  <w:r w:rsidRPr="008B3A7C">
                    <w:rPr>
                      <w:rFonts w:ascii="Verdana" w:eastAsia="Times New Roman" w:hAnsi="Verdana" w:cs="Times New Roman"/>
                      <w:color w:val="000000"/>
                      <w:sz w:val="20"/>
                      <w:szCs w:val="20"/>
                      <w:lang w:eastAsia="es-MX"/>
                    </w:rPr>
                    <w:t> San José, a las catorce horas con cincuenta y dos minutos del veinticinco de febrero del dos mil cuatro.-</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br w:type="textWrapping" w:clear="all"/>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 xml:space="preserve">Recurso de amparo interpuesto por Joseph </w:t>
                  </w:r>
                  <w:proofErr w:type="spellStart"/>
                  <w:r w:rsidRPr="008B3A7C">
                    <w:rPr>
                      <w:rFonts w:ascii="Verdana" w:eastAsia="Times New Roman" w:hAnsi="Verdana" w:cs="Times New Roman"/>
                      <w:color w:val="000000"/>
                      <w:sz w:val="20"/>
                      <w:szCs w:val="20"/>
                      <w:lang w:eastAsia="es-MX"/>
                    </w:rPr>
                    <w:t>Marigliano</w:t>
                  </w:r>
                  <w:proofErr w:type="spellEnd"/>
                  <w:r w:rsidRPr="008B3A7C">
                    <w:rPr>
                      <w:rFonts w:ascii="Verdana" w:eastAsia="Times New Roman" w:hAnsi="Verdana" w:cs="Times New Roman"/>
                      <w:color w:val="000000"/>
                      <w:sz w:val="20"/>
                      <w:szCs w:val="20"/>
                      <w:lang w:eastAsia="es-MX"/>
                    </w:rPr>
                    <w:t>, con un solo apellido en razón de su nacionalidad, portador de la cédula de residencia número 175-165996-012368, contra la Fiscalía de Golfito.</w:t>
                  </w:r>
                </w:p>
                <w:p w:rsidR="008B3A7C" w:rsidRPr="008B3A7C" w:rsidRDefault="008B3A7C" w:rsidP="008B3A7C">
                  <w:pPr>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1" w:name="Result"/>
                  <w:bookmarkEnd w:id="1"/>
                  <w:r w:rsidRPr="008B3A7C">
                    <w:rPr>
                      <w:rFonts w:ascii="Verdana" w:eastAsia="Times New Roman" w:hAnsi="Verdana" w:cs="Times New Roman"/>
                      <w:b/>
                      <w:bCs/>
                      <w:color w:val="000000"/>
                      <w:sz w:val="20"/>
                      <w:szCs w:val="20"/>
                      <w:lang w:eastAsia="es-MX"/>
                    </w:rPr>
                    <w:t>Resultando:</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1.-</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 xml:space="preserve">Por escrito recibido en la Secretaría de la Sala a las once horas y veintiún minutos del veinticuatro de octubre de 2003 (folio 3), el accionante interpone recurso de amparo contra la Fiscalía de Golfito. Manifiesta que la recurrida tramita </w:t>
                  </w:r>
                  <w:r w:rsidRPr="00AD12C2">
                    <w:rPr>
                      <w:rFonts w:ascii="Verdana" w:eastAsia="Times New Roman" w:hAnsi="Verdana" w:cs="Times New Roman"/>
                      <w:color w:val="000000"/>
                      <w:sz w:val="20"/>
                      <w:szCs w:val="20"/>
                      <w:lang w:eastAsia="es-MX"/>
                    </w:rPr>
                    <w:t>el proceso penal dentro</w:t>
                  </w:r>
                  <w:r w:rsidRPr="008B3A7C">
                    <w:rPr>
                      <w:rFonts w:ascii="Verdana" w:eastAsia="Times New Roman" w:hAnsi="Verdana" w:cs="Times New Roman"/>
                      <w:color w:val="000000"/>
                      <w:sz w:val="20"/>
                      <w:szCs w:val="20"/>
                      <w:lang w:eastAsia="es-MX"/>
                    </w:rPr>
                    <w:t xml:space="preserve"> del cual es parte interesada, en virtud de ser el denunciante de un hecho ilícito cometido en su perjuicio, según consta en el expediente número 02-000817-0455-PE. En su condición de parte interesada, se presentó ante dicho Despacho a solicitar que se le permitiera revisar el expediente, no obstante, se le comunicó que por orden directa del Fiscal Erick Martínez, no tenía derecho a revisar esa causa; ante su insistencia, Erick </w:t>
                  </w:r>
                  <w:r w:rsidRPr="008B3A7C">
                    <w:rPr>
                      <w:rFonts w:ascii="Verdana" w:eastAsia="Times New Roman" w:hAnsi="Verdana" w:cs="Times New Roman"/>
                      <w:color w:val="000000"/>
                      <w:sz w:val="20"/>
                      <w:szCs w:val="20"/>
                      <w:lang w:eastAsia="es-MX"/>
                    </w:rPr>
                    <w:lastRenderedPageBreak/>
                    <w:t>Martínez ordenó al auxiliar judicial que no le permitiera revisar dicho</w:t>
                  </w:r>
                  <w:r w:rsidR="00AD12C2">
                    <w:rPr>
                      <w:rFonts w:ascii="Verdana" w:eastAsia="Times New Roman" w:hAnsi="Verdana" w:cs="Times New Roman"/>
                      <w:color w:val="000000"/>
                      <w:sz w:val="20"/>
                      <w:szCs w:val="20"/>
                      <w:lang w:eastAsia="es-MX"/>
                    </w:rPr>
                    <w:t xml:space="preserve"> </w:t>
                  </w:r>
                  <w:r w:rsidRPr="00AD12C2">
                    <w:rPr>
                      <w:rFonts w:ascii="Verdana" w:eastAsia="Times New Roman" w:hAnsi="Verdana" w:cs="Times New Roman"/>
                      <w:color w:val="000000"/>
                      <w:sz w:val="20"/>
                      <w:szCs w:val="20"/>
                      <w:lang w:eastAsia="es-MX"/>
                    </w:rPr>
                    <w:t>proceso</w:t>
                  </w:r>
                  <w:r w:rsidRPr="008B3A7C">
                    <w:rPr>
                      <w:rFonts w:ascii="Verdana" w:eastAsia="Times New Roman" w:hAnsi="Verdana" w:cs="Times New Roman"/>
                      <w:color w:val="000000"/>
                      <w:sz w:val="20"/>
                      <w:szCs w:val="20"/>
                      <w:lang w:eastAsia="es-MX"/>
                    </w:rPr>
                    <w:t>, con lo cual estima se lesionan sus </w:t>
                  </w:r>
                  <w:r w:rsidRPr="00AD12C2">
                    <w:rPr>
                      <w:rFonts w:ascii="Verdana" w:eastAsia="Times New Roman" w:hAnsi="Verdana" w:cs="Times New Roman"/>
                      <w:color w:val="000000"/>
                      <w:sz w:val="20"/>
                      <w:szCs w:val="20"/>
                      <w:lang w:eastAsia="es-MX"/>
                    </w:rPr>
                    <w:t>derechos</w:t>
                  </w:r>
                  <w:r w:rsidRPr="008B3A7C">
                    <w:rPr>
                      <w:rFonts w:ascii="Verdana" w:eastAsia="Times New Roman" w:hAnsi="Verdana" w:cs="Times New Roman"/>
                      <w:color w:val="000000"/>
                      <w:sz w:val="20"/>
                      <w:szCs w:val="20"/>
                      <w:lang w:eastAsia="es-MX"/>
                    </w:rPr>
                    <w:t> fundamentales. Solicita a la Sala se declare con lugar el recurso, con las consecuencias legales que ello implique.</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2.-</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Informa bajo juramento Erick Martínez Trejos, en su condición de Fiscal Coordinador de la Fiscalía de Golfito (folio 06), que el recurrente se presentó ante ese Despacho el treinta de setiembre de 2003. Solicitó que se le permitiera revisar el expediente de la causa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número 02-000817-455; al respecto, se le indicó que de conformidad con la circular número 14-2003 del Consejo Superior y el artículo 295 del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por no ser parte en el</w:t>
                  </w:r>
                  <w:r w:rsidR="00AD12C2">
                    <w:rPr>
                      <w:rFonts w:ascii="Verdana" w:eastAsia="Times New Roman" w:hAnsi="Verdana" w:cs="Times New Roman"/>
                      <w:color w:val="000000"/>
                      <w:sz w:val="20"/>
                      <w:szCs w:val="20"/>
                      <w:lang w:eastAsia="es-MX"/>
                    </w:rPr>
                    <w:t xml:space="preserve"> </w:t>
                  </w:r>
                  <w:r w:rsidRPr="00AD12C2">
                    <w:rPr>
                      <w:rFonts w:ascii="Verdana" w:eastAsia="Times New Roman" w:hAnsi="Verdana" w:cs="Times New Roman"/>
                      <w:color w:val="000000"/>
                      <w:sz w:val="20"/>
                      <w:szCs w:val="20"/>
                      <w:lang w:eastAsia="es-MX"/>
                    </w:rPr>
                    <w:t>proceso</w:t>
                  </w:r>
                  <w:r w:rsidRPr="008B3A7C">
                    <w:rPr>
                      <w:rFonts w:ascii="Verdana" w:eastAsia="Times New Roman" w:hAnsi="Verdana" w:cs="Times New Roman"/>
                      <w:color w:val="000000"/>
                      <w:sz w:val="20"/>
                      <w:szCs w:val="20"/>
                      <w:lang w:eastAsia="es-MX"/>
                    </w:rPr>
                    <w:t>, no podía tener acceso al expediente. Agrega que el Fiscal Adjunto de la Zona Sur, que se encontraba en el despacho, también le explicó al quejoso tal situación. Por ello, solicita se desestime el recurso planteado.</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3.-</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En los procedimientos seguidos se han observado las prescripciones legales.</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br w:type="textWrapping" w:clear="all"/>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Redacta el Magistrado </w:t>
                  </w:r>
                  <w:r w:rsidRPr="008B3A7C">
                    <w:rPr>
                      <w:rFonts w:ascii="Verdana" w:eastAsia="Times New Roman" w:hAnsi="Verdana" w:cs="Times New Roman"/>
                      <w:b/>
                      <w:bCs/>
                      <w:color w:val="000000"/>
                      <w:sz w:val="20"/>
                      <w:szCs w:val="20"/>
                      <w:lang w:eastAsia="es-MX"/>
                    </w:rPr>
                    <w:t>Armijo Sancho</w:t>
                  </w:r>
                  <w:r w:rsidRPr="008B3A7C">
                    <w:rPr>
                      <w:rFonts w:ascii="Verdana" w:eastAsia="Times New Roman" w:hAnsi="Verdana" w:cs="Times New Roman"/>
                      <w:color w:val="000000"/>
                      <w:sz w:val="20"/>
                      <w:szCs w:val="20"/>
                      <w:lang w:eastAsia="es-MX"/>
                    </w:rPr>
                    <w:t>; y,</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br w:type="textWrapping" w:clear="all"/>
                  </w:r>
                </w:p>
                <w:p w:rsidR="008B3A7C" w:rsidRPr="008B3A7C" w:rsidRDefault="008B3A7C" w:rsidP="008B3A7C">
                  <w:pPr>
                    <w:spacing w:before="100" w:beforeAutospacing="1" w:after="100" w:afterAutospacing="1" w:line="240" w:lineRule="auto"/>
                    <w:jc w:val="center"/>
                    <w:rPr>
                      <w:rFonts w:ascii="Verdana" w:eastAsia="Times New Roman" w:hAnsi="Verdana" w:cs="Times New Roman"/>
                      <w:color w:val="000000"/>
                      <w:sz w:val="20"/>
                      <w:szCs w:val="20"/>
                      <w:lang w:eastAsia="es-MX"/>
                    </w:rPr>
                  </w:pPr>
                  <w:bookmarkStart w:id="2" w:name="Consid"/>
                  <w:bookmarkEnd w:id="2"/>
                  <w:r w:rsidRPr="008B3A7C">
                    <w:rPr>
                      <w:rFonts w:ascii="Verdana" w:eastAsia="Times New Roman" w:hAnsi="Verdana" w:cs="Times New Roman"/>
                      <w:b/>
                      <w:bCs/>
                      <w:color w:val="000000"/>
                      <w:sz w:val="20"/>
                      <w:szCs w:val="20"/>
                      <w:lang w:eastAsia="es-MX"/>
                    </w:rPr>
                    <w:t>Considerando:</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I.-</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Hechos probados.</w:t>
                  </w:r>
                  <w:r w:rsidRPr="008B3A7C">
                    <w:rPr>
                      <w:rFonts w:ascii="Verdana" w:eastAsia="Times New Roman" w:hAnsi="Verdana" w:cs="Times New Roman"/>
                      <w:color w:val="000000"/>
                      <w:sz w:val="20"/>
                      <w:szCs w:val="20"/>
                      <w:lang w:eastAsia="es-MX"/>
                    </w:rPr>
                    <w:t> De importancia para la decisión de este asunto, se estiman como debidamente demostrados los siguientes hechos, sea porque así han sido acreditados o bien porque el recurrido haya omitido referirse a ellos según lo prevenido en el auto inicial:</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a) A las once horas treinta minutos del doce de diciembre de 2002, el amparado planteó una denuncia contra Antonio Mellado, Jefe de la Policía de Tránsito en Río Claro, por cuanto ese funcionario se niega a anotar las placas de los taxis en Golfito que no usan la “maría” y hacen cobros excesivos a los extranjeros (copia a folio 1 del expediente judicial número 02-000817-0455-PE).</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b) El treinta de setiembre de 2003, el accionado le impidió al recurrente revisar el expediente judicial número 02-000817-0455-PE (informe a folio 6).</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II.-</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Hechos no probados.</w:t>
                  </w:r>
                  <w:r w:rsidRPr="008B3A7C">
                    <w:rPr>
                      <w:rFonts w:ascii="Verdana" w:eastAsia="Times New Roman" w:hAnsi="Verdana" w:cs="Times New Roman"/>
                      <w:color w:val="000000"/>
                      <w:sz w:val="20"/>
                      <w:szCs w:val="20"/>
                      <w:lang w:eastAsia="es-MX"/>
                    </w:rPr>
                    <w:t> Ninguno de relevancia para la resolución de este asunto.</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lastRenderedPageBreak/>
                    <w:t>III.-</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Sobre los </w:t>
                  </w:r>
                  <w:r w:rsidRPr="00AD12C2">
                    <w:rPr>
                      <w:rFonts w:ascii="Verdana" w:eastAsia="Times New Roman" w:hAnsi="Verdana" w:cs="Times New Roman"/>
                      <w:b/>
                      <w:bCs/>
                      <w:color w:val="000000"/>
                      <w:sz w:val="20"/>
                      <w:szCs w:val="20"/>
                      <w:lang w:eastAsia="es-MX"/>
                    </w:rPr>
                    <w:t>derechos</w:t>
                  </w:r>
                  <w:r w:rsidRPr="008B3A7C">
                    <w:rPr>
                      <w:rFonts w:ascii="Verdana" w:eastAsia="Times New Roman" w:hAnsi="Verdana" w:cs="Times New Roman"/>
                      <w:b/>
                      <w:bCs/>
                      <w:color w:val="000000"/>
                      <w:sz w:val="20"/>
                      <w:szCs w:val="20"/>
                      <w:lang w:eastAsia="es-MX"/>
                    </w:rPr>
                    <w:t> de la </w:t>
                  </w:r>
                  <w:r w:rsidRPr="00AD12C2">
                    <w:rPr>
                      <w:rFonts w:ascii="Verdana" w:eastAsia="Times New Roman" w:hAnsi="Verdana" w:cs="Times New Roman"/>
                      <w:b/>
                      <w:bCs/>
                      <w:color w:val="000000"/>
                      <w:sz w:val="20"/>
                      <w:szCs w:val="20"/>
                      <w:lang w:eastAsia="es-MX"/>
                    </w:rPr>
                    <w:t>víctima</w:t>
                  </w:r>
                  <w:r w:rsidRPr="008B3A7C">
                    <w:rPr>
                      <w:rFonts w:ascii="Verdana" w:eastAsia="Times New Roman" w:hAnsi="Verdana" w:cs="Times New Roman"/>
                      <w:b/>
                      <w:bCs/>
                      <w:color w:val="000000"/>
                      <w:sz w:val="20"/>
                      <w:szCs w:val="20"/>
                      <w:lang w:eastAsia="es-MX"/>
                    </w:rPr>
                    <w:t> en el </w:t>
                  </w:r>
                  <w:r w:rsidRPr="00AD12C2">
                    <w:rPr>
                      <w:rFonts w:ascii="Verdana" w:eastAsia="Times New Roman" w:hAnsi="Verdana" w:cs="Times New Roman"/>
                      <w:b/>
                      <w:bCs/>
                      <w:color w:val="000000"/>
                      <w:sz w:val="20"/>
                      <w:szCs w:val="20"/>
                      <w:lang w:eastAsia="es-MX"/>
                    </w:rPr>
                    <w:t>proceso</w:t>
                  </w:r>
                  <w:r w:rsidRPr="008B3A7C">
                    <w:rPr>
                      <w:rFonts w:ascii="Verdana" w:eastAsia="Times New Roman" w:hAnsi="Verdana" w:cs="Times New Roman"/>
                      <w:b/>
                      <w:bCs/>
                      <w:color w:val="000000"/>
                      <w:sz w:val="20"/>
                      <w:szCs w:val="20"/>
                      <w:lang w:eastAsia="es-MX"/>
                    </w:rPr>
                    <w:t> </w:t>
                  </w:r>
                  <w:r w:rsidRPr="00AD12C2">
                    <w:rPr>
                      <w:rFonts w:ascii="Verdana" w:eastAsia="Times New Roman" w:hAnsi="Verdana" w:cs="Times New Roman"/>
                      <w:b/>
                      <w:bCs/>
                      <w:color w:val="000000"/>
                      <w:sz w:val="20"/>
                      <w:szCs w:val="20"/>
                      <w:lang w:eastAsia="es-MX"/>
                    </w:rPr>
                    <w:t>penal</w:t>
                  </w:r>
                  <w:r w:rsidRPr="008B3A7C">
                    <w:rPr>
                      <w:rFonts w:ascii="Verdana" w:eastAsia="Times New Roman" w:hAnsi="Verdana" w:cs="Times New Roman"/>
                      <w:b/>
                      <w:bCs/>
                      <w:color w:val="000000"/>
                      <w:sz w:val="20"/>
                      <w:szCs w:val="20"/>
                      <w:lang w:eastAsia="es-MX"/>
                    </w:rPr>
                    <w:t>. </w:t>
                  </w:r>
                  <w:r w:rsidRPr="008B3A7C">
                    <w:rPr>
                      <w:rFonts w:ascii="Verdana" w:eastAsia="Times New Roman" w:hAnsi="Verdana" w:cs="Times New Roman"/>
                      <w:color w:val="000000"/>
                      <w:sz w:val="20"/>
                      <w:szCs w:val="20"/>
                      <w:lang w:eastAsia="es-MX"/>
                    </w:rPr>
                    <w:t>Con la entrada en vigencia del nuevo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en 1998, se le confirió a la </w:t>
                  </w:r>
                  <w:r w:rsidRPr="00AD12C2">
                    <w:rPr>
                      <w:rFonts w:ascii="Verdana" w:eastAsia="Times New Roman" w:hAnsi="Verdana" w:cs="Times New Roman"/>
                      <w:color w:val="000000"/>
                      <w:sz w:val="20"/>
                      <w:szCs w:val="20"/>
                      <w:lang w:eastAsia="es-MX"/>
                    </w:rPr>
                    <w:t>víctima</w:t>
                  </w:r>
                  <w:r w:rsidR="00AD12C2">
                    <w:rPr>
                      <w:rFonts w:ascii="Verdana" w:eastAsia="Times New Roman" w:hAnsi="Verdana" w:cs="Times New Roman"/>
                      <w:color w:val="000000"/>
                      <w:sz w:val="20"/>
                      <w:szCs w:val="20"/>
                      <w:lang w:eastAsia="es-MX"/>
                    </w:rPr>
                    <w:t xml:space="preserve"> </w:t>
                  </w:r>
                  <w:r w:rsidRPr="008B3A7C">
                    <w:rPr>
                      <w:rFonts w:ascii="Verdana" w:eastAsia="Times New Roman" w:hAnsi="Verdana" w:cs="Times New Roman"/>
                      <w:color w:val="000000"/>
                      <w:sz w:val="20"/>
                      <w:szCs w:val="20"/>
                      <w:lang w:eastAsia="es-MX"/>
                    </w:rPr>
                    <w:t>una serie de facultades para intervenir en los </w:t>
                  </w:r>
                  <w:r w:rsidRPr="00AD12C2">
                    <w:rPr>
                      <w:rFonts w:ascii="Verdana" w:eastAsia="Times New Roman" w:hAnsi="Verdana" w:cs="Times New Roman"/>
                      <w:color w:val="000000"/>
                      <w:sz w:val="20"/>
                      <w:szCs w:val="20"/>
                      <w:lang w:eastAsia="es-MX"/>
                    </w:rPr>
                    <w:t>proceso</w:t>
                  </w:r>
                  <w:r w:rsidRPr="008B3A7C">
                    <w:rPr>
                      <w:rFonts w:ascii="Verdana" w:eastAsia="Times New Roman" w:hAnsi="Verdana" w:cs="Times New Roman"/>
                      <w:color w:val="000000"/>
                      <w:sz w:val="20"/>
                      <w:szCs w:val="20"/>
                      <w:lang w:eastAsia="es-MX"/>
                    </w:rPr>
                    <w:t>s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es. Así, el artículo 71 inciso a) de ese cuerpo legal le otorga el derecho de intervenir en el procedimiento y el inciso b) de apelar la desestimación y el sobreseimiento definitivo. Específicamente, el artículo 282 del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regula que la desestimación puede ser apelada por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el querellante, el actor civil y el Ministerio Público. Asimismo, la victima puede objetar ante el tribunal del procedimiento preparatorio la decisión del Ministerio Público de dictar el archivo de las actuaciones y apelar el sobreseimiento definitivo dictado en las etapas preparatoria e intermedia, según regulan, en el orden respectivo, los artículos 298 y 315 del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En otros ámbitos, corresponde a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realizar una tarea de control de las actuaciones del Ministerio Público, a través de diversas peticiones, así como instándolo para que interponga los recursos contra las resoluciones contrarias a sus intereses, según estipula el artículo 426 del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(ver sentencia número 1998-07497 de las quince horas treinta y nueve minutos del veintiuno de octubre de 1998). Tales </w:t>
                  </w:r>
                  <w:r w:rsidRPr="00AD12C2">
                    <w:rPr>
                      <w:rFonts w:ascii="Verdana" w:eastAsia="Times New Roman" w:hAnsi="Verdana" w:cs="Times New Roman"/>
                      <w:color w:val="000000"/>
                      <w:sz w:val="20"/>
                      <w:szCs w:val="20"/>
                      <w:lang w:eastAsia="es-MX"/>
                    </w:rPr>
                    <w:t>derechos</w:t>
                  </w:r>
                  <w:r w:rsidRPr="008B3A7C">
                    <w:rPr>
                      <w:rFonts w:ascii="Verdana" w:eastAsia="Times New Roman" w:hAnsi="Verdana" w:cs="Times New Roman"/>
                      <w:color w:val="000000"/>
                      <w:sz w:val="20"/>
                      <w:szCs w:val="20"/>
                      <w:lang w:eastAsia="es-MX"/>
                    </w:rPr>
                    <w:t> le son atribuidos a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sin que estén condicionados a que previamente se hubiese constituido en querellante o actor civil, es decir, como parte, requisito que sí es exigido respecto de otro tipo de actuaciones procesales, como la facultad de interponer recursos de casación (sentencia de la Sala Tercera 2000-01047 de las nueve horas treinta y cinco minutos del ocho de setiembre de 2000). Resulta axiomático que ninguna de las facultades propias de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como tal –señaladas al inicio de este considerando– puede ser ejercida con efectividad por ella, si de antemano se le niega el acceso al expediente judicial correspondiente. Al respecto, resulta muy explicativa la siguiente jurisprudencia de la Sala:</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"...la Sala considera que se deben valorar también los </w:t>
                  </w:r>
                  <w:r w:rsidRPr="00AD12C2">
                    <w:rPr>
                      <w:rFonts w:ascii="Verdana" w:eastAsia="Times New Roman" w:hAnsi="Verdana" w:cs="Times New Roman"/>
                      <w:i/>
                      <w:iCs/>
                      <w:color w:val="000000"/>
                      <w:sz w:val="20"/>
                      <w:szCs w:val="20"/>
                      <w:lang w:eastAsia="es-MX"/>
                    </w:rPr>
                    <w:t>derechos</w:t>
                  </w:r>
                  <w:r w:rsidRPr="008B3A7C">
                    <w:rPr>
                      <w:rFonts w:ascii="Verdana" w:eastAsia="Times New Roman" w:hAnsi="Verdana" w:cs="Times New Roman"/>
                      <w:i/>
                      <w:iCs/>
                      <w:color w:val="000000"/>
                      <w:sz w:val="20"/>
                      <w:szCs w:val="20"/>
                      <w:lang w:eastAsia="es-MX"/>
                    </w:rPr>
                    <w:t> de la </w:t>
                  </w:r>
                  <w:r w:rsidRPr="00AD12C2">
                    <w:rPr>
                      <w:rFonts w:ascii="Verdana" w:eastAsia="Times New Roman" w:hAnsi="Verdana" w:cs="Times New Roman"/>
                      <w:i/>
                      <w:iCs/>
                      <w:color w:val="000000"/>
                      <w:sz w:val="20"/>
                      <w:szCs w:val="20"/>
                      <w:lang w:eastAsia="es-MX"/>
                    </w:rPr>
                    <w:t>víctima</w:t>
                  </w:r>
                  <w:r w:rsidRPr="008B3A7C">
                    <w:rPr>
                      <w:rFonts w:ascii="Verdana" w:eastAsia="Times New Roman" w:hAnsi="Verdana" w:cs="Times New Roman"/>
                      <w:i/>
                      <w:iCs/>
                      <w:color w:val="000000"/>
                      <w:sz w:val="20"/>
                      <w:szCs w:val="20"/>
                      <w:lang w:eastAsia="es-MX"/>
                    </w:rPr>
                    <w:t> como sujeto directamente afectado por el hecho delictuoso. El </w:t>
                  </w:r>
                  <w:r w:rsidRPr="00AD12C2">
                    <w:rPr>
                      <w:rFonts w:ascii="Verdana" w:eastAsia="Times New Roman" w:hAnsi="Verdana" w:cs="Times New Roman"/>
                      <w:i/>
                      <w:iCs/>
                      <w:color w:val="000000"/>
                      <w:sz w:val="20"/>
                      <w:szCs w:val="20"/>
                      <w:lang w:eastAsia="es-MX"/>
                    </w:rPr>
                    <w:t>proceso</w:t>
                  </w:r>
                  <w:r w:rsidR="00AD12C2">
                    <w:rPr>
                      <w:rFonts w:ascii="Verdana" w:eastAsia="Times New Roman" w:hAnsi="Verdana" w:cs="Times New Roman"/>
                      <w:i/>
                      <w:iCs/>
                      <w:color w:val="000000"/>
                      <w:sz w:val="20"/>
                      <w:szCs w:val="20"/>
                      <w:lang w:eastAsia="es-MX"/>
                    </w:rPr>
                    <w:t xml:space="preserve"> </w:t>
                  </w:r>
                  <w:r w:rsidRPr="00AD12C2">
                    <w:rPr>
                      <w:rFonts w:ascii="Verdana" w:eastAsia="Times New Roman" w:hAnsi="Verdana" w:cs="Times New Roman"/>
                      <w:i/>
                      <w:iCs/>
                      <w:color w:val="000000"/>
                      <w:sz w:val="20"/>
                      <w:szCs w:val="20"/>
                      <w:lang w:eastAsia="es-MX"/>
                    </w:rPr>
                    <w:t>penal</w:t>
                  </w:r>
                  <w:r w:rsidRPr="008B3A7C">
                    <w:rPr>
                      <w:rFonts w:ascii="Verdana" w:eastAsia="Times New Roman" w:hAnsi="Verdana" w:cs="Times New Roman"/>
                      <w:i/>
                      <w:iCs/>
                      <w:color w:val="000000"/>
                      <w:sz w:val="20"/>
                      <w:szCs w:val="20"/>
                      <w:lang w:eastAsia="es-MX"/>
                    </w:rPr>
                    <w:t> moderno permite una participación cada vez mayor de la persona perjudicada por el delito y reivindica sus </w:t>
                  </w:r>
                  <w:r w:rsidRPr="00AD12C2">
                    <w:rPr>
                      <w:rFonts w:ascii="Verdana" w:eastAsia="Times New Roman" w:hAnsi="Verdana" w:cs="Times New Roman"/>
                      <w:i/>
                      <w:iCs/>
                      <w:color w:val="000000"/>
                      <w:sz w:val="20"/>
                      <w:szCs w:val="20"/>
                      <w:lang w:eastAsia="es-MX"/>
                    </w:rPr>
                    <w:t>derechos</w:t>
                  </w:r>
                  <w:r w:rsidRPr="008B3A7C">
                    <w:rPr>
                      <w:rFonts w:ascii="Verdana" w:eastAsia="Times New Roman" w:hAnsi="Verdana" w:cs="Times New Roman"/>
                      <w:i/>
                      <w:iCs/>
                      <w:color w:val="000000"/>
                      <w:sz w:val="20"/>
                      <w:szCs w:val="20"/>
                      <w:lang w:eastAsia="es-MX"/>
                    </w:rPr>
                    <w:t xml:space="preserve">, sin </w:t>
                  </w:r>
                  <w:proofErr w:type="spellStart"/>
                  <w:r w:rsidRPr="008B3A7C">
                    <w:rPr>
                      <w:rFonts w:ascii="Verdana" w:eastAsia="Times New Roman" w:hAnsi="Verdana" w:cs="Times New Roman"/>
                      <w:i/>
                      <w:iCs/>
                      <w:color w:val="000000"/>
                      <w:sz w:val="20"/>
                      <w:szCs w:val="20"/>
                      <w:lang w:eastAsia="es-MX"/>
                    </w:rPr>
                    <w:t>pretende</w:t>
                  </w:r>
                  <w:proofErr w:type="spellEnd"/>
                  <w:r w:rsidRPr="008B3A7C">
                    <w:rPr>
                      <w:rFonts w:ascii="Verdana" w:eastAsia="Times New Roman" w:hAnsi="Verdana" w:cs="Times New Roman"/>
                      <w:i/>
                      <w:iCs/>
                      <w:color w:val="000000"/>
                      <w:sz w:val="20"/>
                      <w:szCs w:val="20"/>
                      <w:lang w:eastAsia="es-MX"/>
                    </w:rPr>
                    <w:t xml:space="preserve"> (sic) llegar a un punto de desregulación o al rompimiento del monopolio estatal de la acción </w:t>
                  </w:r>
                  <w:r w:rsidRPr="00AD12C2">
                    <w:rPr>
                      <w:rFonts w:ascii="Verdana" w:eastAsia="Times New Roman" w:hAnsi="Verdana" w:cs="Times New Roman"/>
                      <w:i/>
                      <w:iCs/>
                      <w:color w:val="000000"/>
                      <w:sz w:val="20"/>
                      <w:szCs w:val="20"/>
                      <w:lang w:eastAsia="es-MX"/>
                    </w:rPr>
                    <w:t>penal</w:t>
                  </w:r>
                  <w:r w:rsidRPr="008B3A7C">
                    <w:rPr>
                      <w:rFonts w:ascii="Verdana" w:eastAsia="Times New Roman" w:hAnsi="Verdana" w:cs="Times New Roman"/>
                      <w:i/>
                      <w:iCs/>
                      <w:color w:val="000000"/>
                      <w:sz w:val="20"/>
                      <w:szCs w:val="20"/>
                      <w:lang w:eastAsia="es-MX"/>
                    </w:rPr>
                    <w:t>. La participación de la </w:t>
                  </w:r>
                  <w:r w:rsidRPr="00AD12C2">
                    <w:rPr>
                      <w:rFonts w:ascii="Verdana" w:eastAsia="Times New Roman" w:hAnsi="Verdana" w:cs="Times New Roman"/>
                      <w:i/>
                      <w:iCs/>
                      <w:color w:val="000000"/>
                      <w:sz w:val="20"/>
                      <w:szCs w:val="20"/>
                      <w:lang w:eastAsia="es-MX"/>
                    </w:rPr>
                    <w:t>víctima</w:t>
                  </w:r>
                  <w:r w:rsidRPr="008B3A7C">
                    <w:rPr>
                      <w:rFonts w:ascii="Verdana" w:eastAsia="Times New Roman" w:hAnsi="Verdana" w:cs="Times New Roman"/>
                      <w:i/>
                      <w:iCs/>
                      <w:color w:val="000000"/>
                      <w:sz w:val="20"/>
                      <w:szCs w:val="20"/>
                      <w:lang w:eastAsia="es-MX"/>
                    </w:rPr>
                    <w:t> 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ya sea directamente o por medio de otra persona que defienda sus </w:t>
                  </w:r>
                  <w:r w:rsidRPr="00AD12C2">
                    <w:rPr>
                      <w:rFonts w:ascii="Verdana" w:eastAsia="Times New Roman" w:hAnsi="Verdana" w:cs="Times New Roman"/>
                      <w:i/>
                      <w:iCs/>
                      <w:color w:val="000000"/>
                      <w:sz w:val="20"/>
                      <w:szCs w:val="20"/>
                      <w:lang w:eastAsia="es-MX"/>
                    </w:rPr>
                    <w:t>derechos</w:t>
                  </w:r>
                  <w:r w:rsidRPr="008B3A7C">
                    <w:rPr>
                      <w:rFonts w:ascii="Verdana" w:eastAsia="Times New Roman" w:hAnsi="Verdana" w:cs="Times New Roman"/>
                      <w:i/>
                      <w:iCs/>
                      <w:color w:val="000000"/>
                      <w:sz w:val="20"/>
                      <w:szCs w:val="20"/>
                      <w:lang w:eastAsia="es-MX"/>
                    </w:rPr>
                    <w:t> o intereses, tiene como objetivo principal el que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cumpla uno de sus fines esenciales: el efectivo resarcimiento del ofendido. No hay que perder de vista que con el delito se produce un conflicto interpersonal que debe resolverse, aunque técnicamente se hable solo de la lesión de bienes jurídicos.</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IV.-</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Ahora bien, el reforzamiento y la mayor participación del ofendido 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w:t>
                  </w:r>
                  <w:r w:rsidRPr="00AD12C2">
                    <w:rPr>
                      <w:rFonts w:ascii="Verdana" w:eastAsia="Times New Roman" w:hAnsi="Verdana" w:cs="Times New Roman"/>
                      <w:i/>
                      <w:iCs/>
                      <w:color w:val="000000"/>
                      <w:sz w:val="20"/>
                      <w:szCs w:val="20"/>
                      <w:lang w:eastAsia="es-MX"/>
                    </w:rPr>
                    <w:t>penal</w:t>
                  </w:r>
                  <w:r w:rsidRPr="008B3A7C">
                    <w:rPr>
                      <w:rFonts w:ascii="Verdana" w:eastAsia="Times New Roman" w:hAnsi="Verdana" w:cs="Times New Roman"/>
                      <w:i/>
                      <w:iCs/>
                      <w:color w:val="000000"/>
                      <w:sz w:val="20"/>
                      <w:szCs w:val="20"/>
                      <w:lang w:eastAsia="es-MX"/>
                    </w:rPr>
                    <w:t> fundamentalmente pretende favorecer la vigencia de una garantía constitucional: el derecho a la justicia que tiene la persona que ha sido </w:t>
                  </w:r>
                  <w:r w:rsidRPr="00AD12C2">
                    <w:rPr>
                      <w:rFonts w:ascii="Verdana" w:eastAsia="Times New Roman" w:hAnsi="Verdana" w:cs="Times New Roman"/>
                      <w:i/>
                      <w:iCs/>
                      <w:color w:val="000000"/>
                      <w:sz w:val="20"/>
                      <w:szCs w:val="20"/>
                      <w:lang w:eastAsia="es-MX"/>
                    </w:rPr>
                    <w:t>víctima</w:t>
                  </w:r>
                  <w:r w:rsidRPr="008B3A7C">
                    <w:rPr>
                      <w:rFonts w:ascii="Verdana" w:eastAsia="Times New Roman" w:hAnsi="Verdana" w:cs="Times New Roman"/>
                      <w:i/>
                      <w:iCs/>
                      <w:color w:val="000000"/>
                      <w:sz w:val="20"/>
                      <w:szCs w:val="20"/>
                      <w:lang w:eastAsia="es-MX"/>
                    </w:rPr>
                    <w:t xml:space="preserve"> de un delito -artículo 41 de la Constitución-. La justicia no debe verse como un valor ajeno y contrario al ordenamiento positivo, sino como uno de sus principios rectores y, en ese sentido, la justicia del caso concreto, o la </w:t>
                  </w:r>
                  <w:r w:rsidRPr="008B3A7C">
                    <w:rPr>
                      <w:rFonts w:ascii="Verdana" w:eastAsia="Times New Roman" w:hAnsi="Verdana" w:cs="Times New Roman"/>
                      <w:i/>
                      <w:iCs/>
                      <w:color w:val="000000"/>
                      <w:sz w:val="20"/>
                      <w:szCs w:val="20"/>
                      <w:lang w:eastAsia="es-MX"/>
                    </w:rPr>
                    <w:lastRenderedPageBreak/>
                    <w:t>efectiva solución del conflicto que se plantea ante el órgano jurisdiccional, es una de sus principales manifestaciones. Dentro del derecho fundamental a la justicia se garantiza el derecho a la tutela jurisdiccional que tiene toda persona que accede al sistema judicial con el fin de que los órganos competentes estudien su pretensión y emitan una resolución motivada, conforme a derecho. Ese derecho a la tutela judicial supone el cumplimiento por parte de los órganos judiciales de los principios y </w:t>
                  </w:r>
                  <w:r w:rsidRPr="00AD12C2">
                    <w:rPr>
                      <w:rFonts w:ascii="Verdana" w:eastAsia="Times New Roman" w:hAnsi="Verdana" w:cs="Times New Roman"/>
                      <w:i/>
                      <w:iCs/>
                      <w:color w:val="000000"/>
                      <w:sz w:val="20"/>
                      <w:szCs w:val="20"/>
                      <w:lang w:eastAsia="es-MX"/>
                    </w:rPr>
                    <w:t>derechos</w:t>
                  </w:r>
                  <w:r w:rsidRPr="008B3A7C">
                    <w:rPr>
                      <w:rFonts w:ascii="Verdana" w:eastAsia="Times New Roman" w:hAnsi="Verdana" w:cs="Times New Roman"/>
                      <w:i/>
                      <w:iCs/>
                      <w:color w:val="000000"/>
                      <w:sz w:val="20"/>
                      <w:szCs w:val="20"/>
                      <w:lang w:eastAsia="es-MX"/>
                    </w:rPr>
                    <w:t> que rigen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y que constituyen todo un sistema de garantías que está integrado fundamentalmente por: el acceso a la tutela judicial, la obtención de una sentencia fundada en derecho, la ejecución de la sentencia (lo que supone reponer a la persona en su derecho y compensarlo si hubiera lugar al resarcimiento por el daño sufrido), y el ejercicio de las facultades y los recursos legalmente previstos. Lo anterior determina que la garantía de tutela jurisdiccional deba ser efectiva, por lo que no resultan admisibles los obstáculos que puedan estimarse excesivos, que sean producto de un simple formalismo, o que no sean justificados y proporcionados a las finalidades adecuadas a esa garantía constitucional.</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V.-</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De acuerdo con lo que se ha dicho, la </w:t>
                  </w:r>
                  <w:r w:rsidRPr="00AD12C2">
                    <w:rPr>
                      <w:rFonts w:ascii="Verdana" w:eastAsia="Times New Roman" w:hAnsi="Verdana" w:cs="Times New Roman"/>
                      <w:i/>
                      <w:iCs/>
                      <w:color w:val="000000"/>
                      <w:sz w:val="20"/>
                      <w:szCs w:val="20"/>
                      <w:lang w:eastAsia="es-MX"/>
                    </w:rPr>
                    <w:t>víctima</w:t>
                  </w:r>
                  <w:r w:rsidRPr="008B3A7C">
                    <w:rPr>
                      <w:rFonts w:ascii="Verdana" w:eastAsia="Times New Roman" w:hAnsi="Verdana" w:cs="Times New Roman"/>
                      <w:i/>
                      <w:iCs/>
                      <w:color w:val="000000"/>
                      <w:sz w:val="20"/>
                      <w:szCs w:val="20"/>
                      <w:lang w:eastAsia="es-MX"/>
                    </w:rPr>
                    <w:t> del delito tiene un interés digno de protección 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w:t>
                  </w:r>
                  <w:r w:rsidRPr="00AD12C2">
                    <w:rPr>
                      <w:rFonts w:ascii="Verdana" w:eastAsia="Times New Roman" w:hAnsi="Verdana" w:cs="Times New Roman"/>
                      <w:i/>
                      <w:iCs/>
                      <w:color w:val="000000"/>
                      <w:sz w:val="20"/>
                      <w:szCs w:val="20"/>
                      <w:lang w:eastAsia="es-MX"/>
                    </w:rPr>
                    <w:t>penal</w:t>
                  </w:r>
                  <w:r w:rsidRPr="008B3A7C">
                    <w:rPr>
                      <w:rFonts w:ascii="Verdana" w:eastAsia="Times New Roman" w:hAnsi="Verdana" w:cs="Times New Roman"/>
                      <w:i/>
                      <w:iCs/>
                      <w:color w:val="000000"/>
                      <w:sz w:val="20"/>
                      <w:szCs w:val="20"/>
                      <w:lang w:eastAsia="es-MX"/>
                    </w:rPr>
                    <w:t>. Sin embargo, para que se pueda dar una tutela jurisdiccional efectiva, en la forma en que se regula el procedimiento </w:t>
                  </w:r>
                  <w:r w:rsidRPr="00AD12C2">
                    <w:rPr>
                      <w:rFonts w:ascii="Verdana" w:eastAsia="Times New Roman" w:hAnsi="Verdana" w:cs="Times New Roman"/>
                      <w:i/>
                      <w:iCs/>
                      <w:color w:val="000000"/>
                      <w:sz w:val="20"/>
                      <w:szCs w:val="20"/>
                      <w:lang w:eastAsia="es-MX"/>
                    </w:rPr>
                    <w:t>penal</w:t>
                  </w:r>
                  <w:r w:rsidRPr="008B3A7C">
                    <w:rPr>
                      <w:rFonts w:ascii="Verdana" w:eastAsia="Times New Roman" w:hAnsi="Verdana" w:cs="Times New Roman"/>
                      <w:i/>
                      <w:iCs/>
                      <w:color w:val="000000"/>
                      <w:sz w:val="20"/>
                      <w:szCs w:val="20"/>
                      <w:lang w:eastAsia="es-MX"/>
                    </w:rPr>
                    <w:t> actualmente, debe el ofendido constituirse en actor civil para ser considerado parte 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(sentencia número 1193-95, de las nueve horas dieciocho minutos del tres de marzo de 1995, criterio retomado en la sentencia número 2002-03157 de las nueve horas treinta y ocho minutos del cinco de abril de 2002)</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La jurisprudencia anterior pone de manifiesto que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del delito tiene un interés digno de protección en el </w:t>
                  </w:r>
                  <w:r w:rsidRPr="00AD12C2">
                    <w:rPr>
                      <w:rFonts w:ascii="Verdana" w:eastAsia="Times New Roman" w:hAnsi="Verdana" w:cs="Times New Roman"/>
                      <w:color w:val="000000"/>
                      <w:sz w:val="20"/>
                      <w:szCs w:val="20"/>
                      <w:lang w:eastAsia="es-MX"/>
                    </w:rPr>
                    <w:t>proceso</w:t>
                  </w:r>
                  <w:r w:rsidRPr="008B3A7C">
                    <w:rPr>
                      <w:rFonts w:ascii="Verdana" w:eastAsia="Times New Roman" w:hAnsi="Verdana" w:cs="Times New Roman"/>
                      <w:color w:val="000000"/>
                      <w:sz w:val="20"/>
                      <w:szCs w:val="20"/>
                      <w:lang w:eastAsia="es-MX"/>
                    </w:rPr>
                    <w:t>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xml:space="preserve">, que sin lugar a dudas resulta de relevancia constitucional, según lo ha declarado la Sala reiteradamente </w:t>
                  </w:r>
                  <w:proofErr w:type="gramStart"/>
                  <w:r w:rsidRPr="008B3A7C">
                    <w:rPr>
                      <w:rFonts w:ascii="Verdana" w:eastAsia="Times New Roman" w:hAnsi="Verdana" w:cs="Times New Roman"/>
                      <w:color w:val="000000"/>
                      <w:sz w:val="20"/>
                      <w:szCs w:val="20"/>
                      <w:lang w:eastAsia="es-MX"/>
                    </w:rPr>
                    <w:t>( sentencia</w:t>
                  </w:r>
                  <w:proofErr w:type="gramEnd"/>
                  <w:r w:rsidRPr="008B3A7C">
                    <w:rPr>
                      <w:rFonts w:ascii="Verdana" w:eastAsia="Times New Roman" w:hAnsi="Verdana" w:cs="Times New Roman"/>
                      <w:color w:val="000000"/>
                      <w:sz w:val="20"/>
                      <w:szCs w:val="20"/>
                      <w:lang w:eastAsia="es-MX"/>
                    </w:rPr>
                    <w:t xml:space="preserve"> número 5752-93 de las catorce horas cuarenta y dos minutos del nueve de noviembre de 1993). Actualizada tal jurisprudencia a la luz del nuevo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de conformidad con lo explicado al inicio de este considerando, se debe subrayar que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independientemente de que se constituya o no en querellante, le asiste una serie de facultades procesales, que solo las puede ejercitar si se le permite pleno acceso al expediente. Lo anterior, sin embargo, no obsta para que el Ministerio Público declare el secreto de las actuaciones, según lo regulado en el artículo 296 del Código Procesal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siempre y cuando esa medida sea tomada mediante resolución debidamente fundamentada, no exceda el plazo de diez días consecutivos, y exponga de forma razonada y objetiva los motivos por los que el Fiscal considera que en el caso de que las actuaciones fuesen de conocimiento de las partes, se entorpecería la investigación (sentencia número 2002-03157 de las nueve horas treinta y ocho minutos del cinco de abril de 2002).</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IV. Sobre el fondo de este asunto. </w:t>
                  </w:r>
                  <w:r w:rsidRPr="008B3A7C">
                    <w:rPr>
                      <w:rFonts w:ascii="Verdana" w:eastAsia="Times New Roman" w:hAnsi="Verdana" w:cs="Times New Roman"/>
                      <w:color w:val="000000"/>
                      <w:sz w:val="20"/>
                      <w:szCs w:val="20"/>
                      <w:lang w:eastAsia="es-MX"/>
                    </w:rPr>
                    <w:t>De conformidad con la relación de hechos esbozada al inicio del primer considerando, a las once horas treinta minutos del doce de diciembre de 2002, el amparado planteó una denuncia ante el accionado, de cuya lectura se desprende que se considera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xml:space="preserve"> y que solicitó se le mantuviera informado sobre el desarrollo de la investigación, según consta </w:t>
                  </w:r>
                  <w:r w:rsidRPr="008B3A7C">
                    <w:rPr>
                      <w:rFonts w:ascii="Verdana" w:eastAsia="Times New Roman" w:hAnsi="Verdana" w:cs="Times New Roman"/>
                      <w:color w:val="000000"/>
                      <w:sz w:val="20"/>
                      <w:szCs w:val="20"/>
                      <w:lang w:eastAsia="es-MX"/>
                    </w:rPr>
                    <w:lastRenderedPageBreak/>
                    <w:t>en el expediente judicial número 02-000817-0455-PE. Posteriormente, el treinta de setiembre de 2003, el recurrente se presentó en el despacho del accionado a fin de examinar ese expediente, mas este último se lo impidió con el argumento de que no era parte en el </w:t>
                  </w:r>
                  <w:r w:rsidRPr="00AD12C2">
                    <w:rPr>
                      <w:rFonts w:ascii="Verdana" w:eastAsia="Times New Roman" w:hAnsi="Verdana" w:cs="Times New Roman"/>
                      <w:color w:val="000000"/>
                      <w:sz w:val="20"/>
                      <w:szCs w:val="20"/>
                      <w:lang w:eastAsia="es-MX"/>
                    </w:rPr>
                    <w:t>proceso</w:t>
                  </w:r>
                  <w:r w:rsidRPr="008B3A7C">
                    <w:rPr>
                      <w:rFonts w:ascii="Verdana" w:eastAsia="Times New Roman" w:hAnsi="Verdana" w:cs="Times New Roman"/>
                      <w:color w:val="000000"/>
                      <w:sz w:val="20"/>
                      <w:szCs w:val="20"/>
                      <w:lang w:eastAsia="es-MX"/>
                    </w:rPr>
                    <w:t> y en acatamiento de la circular del Consejo Superior número 14-2003. En lo que interesa, el oficio antedicho indica:</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“únicamente tendrán acceso a los expedientes judiciales, las personas que son parte en el </w:t>
                  </w:r>
                  <w:r w:rsidRPr="00AD12C2">
                    <w:rPr>
                      <w:rFonts w:ascii="Verdana" w:eastAsia="Times New Roman" w:hAnsi="Verdana" w:cs="Times New Roman"/>
                      <w:i/>
                      <w:iCs/>
                      <w:color w:val="000000"/>
                      <w:sz w:val="20"/>
                      <w:szCs w:val="20"/>
                      <w:lang w:eastAsia="es-MX"/>
                    </w:rPr>
                    <w:t>proceso</w:t>
                  </w:r>
                  <w:r w:rsidRPr="008B3A7C">
                    <w:rPr>
                      <w:rFonts w:ascii="Verdana" w:eastAsia="Times New Roman" w:hAnsi="Verdana" w:cs="Times New Roman"/>
                      <w:i/>
                      <w:iCs/>
                      <w:color w:val="000000"/>
                      <w:sz w:val="20"/>
                      <w:szCs w:val="20"/>
                      <w:lang w:eastAsia="es-MX"/>
                    </w:rPr>
                    <w:t>, los abogados, asistentes de abogados y estudiantes de Derecho debidamente autorizados, de conformidad con lo establecido en las normas procesales según la materia. Asimismo es necesario indicar que el término utilizado “personas interesadas” se refiere a cualquier persona que única y exclusivamente desee consultar y transcribir, (no fotocopiar) la información que contenga el libro de entradas de cada despacho o su equivalente al registro informático.-</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i/>
                      <w:iCs/>
                      <w:color w:val="000000"/>
                      <w:sz w:val="20"/>
                      <w:szCs w:val="20"/>
                      <w:lang w:eastAsia="es-MX"/>
                    </w:rPr>
                    <w:t>“</w:t>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Al remitir esa directriz a las normas procesales específicas, se debe advertir que en asuntos de naturaleza </w:t>
                  </w:r>
                  <w:r w:rsidRPr="00AD12C2">
                    <w:rPr>
                      <w:rFonts w:ascii="Verdana" w:eastAsia="Times New Roman" w:hAnsi="Verdana" w:cs="Times New Roman"/>
                      <w:color w:val="000000"/>
                      <w:sz w:val="20"/>
                      <w:szCs w:val="20"/>
                      <w:lang w:eastAsia="es-MX"/>
                    </w:rPr>
                    <w:t>penal</w:t>
                  </w:r>
                  <w:r w:rsidRPr="008B3A7C">
                    <w:rPr>
                      <w:rFonts w:ascii="Verdana" w:eastAsia="Times New Roman" w:hAnsi="Verdana" w:cs="Times New Roman"/>
                      <w:color w:val="000000"/>
                      <w:sz w:val="20"/>
                      <w:szCs w:val="20"/>
                      <w:lang w:eastAsia="es-MX"/>
                    </w:rPr>
                    <w:t>, a la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xml:space="preserve"> le asiste un particular derecho de examinar el expediente judicial que le afectare, independientemente de que se hubiese constituido como querellante o actor civil, según lo explicado en el considerando anterior. Por ello, resulta errada la interpretación aplicada por el accionado a la circular </w:t>
                  </w:r>
                  <w:proofErr w:type="spellStart"/>
                  <w:r w:rsidRPr="008B3A7C">
                    <w:rPr>
                      <w:rFonts w:ascii="Verdana" w:eastAsia="Times New Roman" w:hAnsi="Verdana" w:cs="Times New Roman"/>
                      <w:color w:val="000000"/>
                      <w:sz w:val="20"/>
                      <w:szCs w:val="20"/>
                      <w:lang w:eastAsia="es-MX"/>
                    </w:rPr>
                    <w:t>supracitada</w:t>
                  </w:r>
                  <w:proofErr w:type="spellEnd"/>
                  <w:r w:rsidRPr="008B3A7C">
                    <w:rPr>
                      <w:rFonts w:ascii="Verdana" w:eastAsia="Times New Roman" w:hAnsi="Verdana" w:cs="Times New Roman"/>
                      <w:color w:val="000000"/>
                      <w:sz w:val="20"/>
                      <w:szCs w:val="20"/>
                      <w:lang w:eastAsia="es-MX"/>
                    </w:rPr>
                    <w:t>. En consecuencia, la decisión del Fiscal recurrido de no permitirle al accionante, en su condición de </w:t>
                  </w:r>
                  <w:r w:rsidRPr="00AD12C2">
                    <w:rPr>
                      <w:rFonts w:ascii="Verdana" w:eastAsia="Times New Roman" w:hAnsi="Verdana" w:cs="Times New Roman"/>
                      <w:color w:val="000000"/>
                      <w:sz w:val="20"/>
                      <w:szCs w:val="20"/>
                      <w:lang w:eastAsia="es-MX"/>
                    </w:rPr>
                    <w:t>víctima</w:t>
                  </w:r>
                  <w:r w:rsidRPr="008B3A7C">
                    <w:rPr>
                      <w:rFonts w:ascii="Verdana" w:eastAsia="Times New Roman" w:hAnsi="Verdana" w:cs="Times New Roman"/>
                      <w:color w:val="000000"/>
                      <w:sz w:val="20"/>
                      <w:szCs w:val="20"/>
                      <w:lang w:eastAsia="es-MX"/>
                    </w:rPr>
                    <w:t>, examinar el expediente sin haberse decretado el secreto de las actuaciones mediante resolución fundada, violenta los </w:t>
                  </w:r>
                  <w:r w:rsidRPr="00AD12C2">
                    <w:rPr>
                      <w:rFonts w:ascii="Verdana" w:eastAsia="Times New Roman" w:hAnsi="Verdana" w:cs="Times New Roman"/>
                      <w:color w:val="000000"/>
                      <w:sz w:val="20"/>
                      <w:szCs w:val="20"/>
                      <w:lang w:eastAsia="es-MX"/>
                    </w:rPr>
                    <w:t>derechos</w:t>
                  </w:r>
                  <w:r w:rsidRPr="008B3A7C">
                    <w:rPr>
                      <w:rFonts w:ascii="Verdana" w:eastAsia="Times New Roman" w:hAnsi="Verdana" w:cs="Times New Roman"/>
                      <w:color w:val="000000"/>
                      <w:sz w:val="20"/>
                      <w:szCs w:val="20"/>
                      <w:lang w:eastAsia="es-MX"/>
                    </w:rPr>
                    <w:t> del quejoso, de manera que este amparo resulta del todo procedente.</w:t>
                  </w:r>
                </w:p>
                <w:p w:rsidR="008B3A7C" w:rsidRPr="008B3A7C" w:rsidRDefault="008B3A7C" w:rsidP="008B3A7C">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B3A7C">
                    <w:rPr>
                      <w:rFonts w:ascii="Verdana" w:eastAsia="Times New Roman" w:hAnsi="Verdana" w:cs="Times New Roman"/>
                      <w:b/>
                      <w:bCs/>
                      <w:color w:val="000000"/>
                      <w:sz w:val="20"/>
                      <w:szCs w:val="20"/>
                      <w:lang w:eastAsia="es-MX"/>
                    </w:rPr>
                    <w:t>Por tanto:</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bookmarkStart w:id="3" w:name="_GoBack"/>
                  <w:bookmarkEnd w:id="3"/>
                  <w:r w:rsidRPr="008B3A7C">
                    <w:rPr>
                      <w:rFonts w:ascii="Verdana" w:eastAsia="Times New Roman" w:hAnsi="Verdana" w:cs="Times New Roman"/>
                      <w:color w:val="000000"/>
                      <w:sz w:val="20"/>
                      <w:szCs w:val="20"/>
                      <w:lang w:eastAsia="es-MX"/>
                    </w:rPr>
                    <w:br w:type="textWrapping" w:clear="all"/>
                  </w:r>
                </w:p>
                <w:p w:rsidR="008B3A7C" w:rsidRPr="008B3A7C" w:rsidRDefault="008B3A7C" w:rsidP="008B3A7C">
                  <w:pPr>
                    <w:spacing w:before="100" w:beforeAutospacing="1" w:after="100" w:afterAutospacing="1" w:line="240" w:lineRule="auto"/>
                    <w:jc w:val="both"/>
                    <w:rPr>
                      <w:rFonts w:ascii="Verdana" w:eastAsia="Times New Roman" w:hAnsi="Verdana" w:cs="Times New Roman"/>
                      <w:color w:val="000000"/>
                      <w:sz w:val="20"/>
                      <w:szCs w:val="20"/>
                      <w:lang w:eastAsia="es-MX"/>
                    </w:rPr>
                  </w:pPr>
                  <w:bookmarkStart w:id="4" w:name="PorTanto"/>
                  <w:bookmarkEnd w:id="4"/>
                  <w:r w:rsidRPr="008B3A7C">
                    <w:rPr>
                      <w:rFonts w:ascii="Verdana" w:eastAsia="Times New Roman" w:hAnsi="Verdana" w:cs="Times New Roman"/>
                      <w:color w:val="000000"/>
                      <w:sz w:val="20"/>
                      <w:szCs w:val="20"/>
                      <w:lang w:eastAsia="es-MX"/>
                    </w:rPr>
                    <w:t>Se declara con lugar el recurso. En consecuencia, se ordena a Erick Martínez Trejos, en su condición de Fiscal Coordinador de la Fiscalía de Golfito, o a quien en su lugar ocupe ese puesto, que, de no haberse decretado legítimamente el secreto del sumario, facilite al amparado, en su condición de </w:t>
                  </w:r>
                  <w:r w:rsidRPr="008B3A7C">
                    <w:rPr>
                      <w:rFonts w:ascii="Verdana" w:eastAsia="Times New Roman" w:hAnsi="Verdana" w:cs="Times New Roman"/>
                      <w:b/>
                      <w:bCs/>
                      <w:color w:val="16166E"/>
                      <w:sz w:val="20"/>
                      <w:szCs w:val="20"/>
                      <w:shd w:val="clear" w:color="auto" w:fill="6495ED"/>
                      <w:lang w:eastAsia="es-MX"/>
                    </w:rPr>
                    <w:t>víctima</w:t>
                  </w:r>
                  <w:r w:rsidRPr="008B3A7C">
                    <w:rPr>
                      <w:rFonts w:ascii="Verdana" w:eastAsia="Times New Roman" w:hAnsi="Verdana" w:cs="Times New Roman"/>
                      <w:color w:val="000000"/>
                      <w:sz w:val="20"/>
                      <w:szCs w:val="20"/>
                      <w:lang w:eastAsia="es-MX"/>
                    </w:rPr>
                    <w:t>, el acceso al expediente judicial número 02-000817-0455-PE. Se condena al Estado al pago de las costas, daños y perjuicios causados, extremos que se calcularán en ejecución de sentencia de lo contencioso administrativo.</w:t>
                  </w:r>
                </w:p>
                <w:p w:rsidR="008B3A7C" w:rsidRPr="008B3A7C" w:rsidRDefault="008B3A7C" w:rsidP="008B3A7C">
                  <w:pPr>
                    <w:spacing w:after="0" w:line="240" w:lineRule="auto"/>
                    <w:jc w:val="both"/>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br w:type="textWrapping" w:clear="all"/>
                  </w:r>
                </w:p>
                <w:p w:rsidR="008B3A7C" w:rsidRPr="008B3A7C" w:rsidRDefault="008B3A7C" w:rsidP="008B3A7C">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Luis Fernando Solano C.</w:t>
                  </w:r>
                </w:p>
                <w:p w:rsidR="008B3A7C" w:rsidRPr="008B3A7C" w:rsidRDefault="008B3A7C" w:rsidP="008B3A7C">
                  <w:pPr>
                    <w:spacing w:before="100" w:beforeAutospacing="1" w:after="100" w:afterAutospacing="1" w:line="240" w:lineRule="auto"/>
                    <w:jc w:val="center"/>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Presidente</w:t>
                  </w:r>
                </w:p>
                <w:p w:rsidR="008B3A7C" w:rsidRPr="008B3A7C" w:rsidRDefault="008B3A7C" w:rsidP="008B3A7C">
                  <w:pPr>
                    <w:spacing w:before="100" w:beforeAutospacing="1" w:after="100" w:afterAutospacing="1" w:line="240" w:lineRule="auto"/>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Adrián Vargas B.             Gilbert Armijo S.</w:t>
                  </w:r>
                </w:p>
                <w:p w:rsidR="008B3A7C" w:rsidRPr="008B3A7C" w:rsidRDefault="008B3A7C" w:rsidP="008B3A7C">
                  <w:pPr>
                    <w:spacing w:before="100" w:beforeAutospacing="1" w:after="100" w:afterAutospacing="1" w:line="240" w:lineRule="auto"/>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lastRenderedPageBreak/>
                    <w:t xml:space="preserve">Ernesto </w:t>
                  </w:r>
                  <w:proofErr w:type="spellStart"/>
                  <w:r w:rsidRPr="008B3A7C">
                    <w:rPr>
                      <w:rFonts w:ascii="Verdana" w:eastAsia="Times New Roman" w:hAnsi="Verdana" w:cs="Times New Roman"/>
                      <w:color w:val="000000"/>
                      <w:sz w:val="20"/>
                      <w:szCs w:val="20"/>
                      <w:lang w:eastAsia="es-MX"/>
                    </w:rPr>
                    <w:t>Jinesta</w:t>
                  </w:r>
                  <w:proofErr w:type="spellEnd"/>
                  <w:r w:rsidRPr="008B3A7C">
                    <w:rPr>
                      <w:rFonts w:ascii="Verdana" w:eastAsia="Times New Roman" w:hAnsi="Verdana" w:cs="Times New Roman"/>
                      <w:color w:val="000000"/>
                      <w:sz w:val="20"/>
                      <w:szCs w:val="20"/>
                      <w:lang w:eastAsia="es-MX"/>
                    </w:rPr>
                    <w:t xml:space="preserve"> L.       José Miguel Alfaro R.</w:t>
                  </w:r>
                </w:p>
                <w:p w:rsidR="008B3A7C" w:rsidRPr="008B3A7C" w:rsidRDefault="008B3A7C" w:rsidP="008B3A7C">
                  <w:pPr>
                    <w:spacing w:before="100" w:beforeAutospacing="1" w:after="100" w:afterAutospacing="1" w:line="240" w:lineRule="auto"/>
                    <w:rPr>
                      <w:rFonts w:ascii="Verdana" w:eastAsia="Times New Roman" w:hAnsi="Verdana" w:cs="Times New Roman"/>
                      <w:color w:val="000000"/>
                      <w:sz w:val="20"/>
                      <w:szCs w:val="20"/>
                      <w:lang w:eastAsia="es-MX"/>
                    </w:rPr>
                  </w:pPr>
                  <w:r w:rsidRPr="008B3A7C">
                    <w:rPr>
                      <w:rFonts w:ascii="Verdana" w:eastAsia="Times New Roman" w:hAnsi="Verdana" w:cs="Times New Roman"/>
                      <w:color w:val="000000"/>
                      <w:sz w:val="20"/>
                      <w:szCs w:val="20"/>
                      <w:lang w:eastAsia="es-MX"/>
                    </w:rPr>
                    <w:t>Fernando Cruz C.         Teresita Rodríguez A.</w:t>
                  </w:r>
                </w:p>
              </w:tc>
            </w:tr>
          </w:tbl>
          <w:p w:rsidR="008B3A7C" w:rsidRPr="008B3A7C" w:rsidRDefault="008B3A7C" w:rsidP="008B3A7C">
            <w:pPr>
              <w:spacing w:after="0" w:line="240" w:lineRule="auto"/>
              <w:rPr>
                <w:rFonts w:ascii="Verdana" w:eastAsia="Times New Roman" w:hAnsi="Verdana" w:cs="Times New Roman"/>
                <w:color w:val="000000"/>
                <w:sz w:val="20"/>
                <w:szCs w:val="20"/>
                <w:lang w:eastAsia="es-MX"/>
              </w:rPr>
            </w:pPr>
          </w:p>
        </w:tc>
      </w:tr>
    </w:tbl>
    <w:p w:rsidR="007A33B6" w:rsidRDefault="00AD12C2"/>
    <w:sectPr w:rsidR="007A3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7C"/>
    <w:rsid w:val="002B78C0"/>
    <w:rsid w:val="004441E4"/>
    <w:rsid w:val="008B3A7C"/>
    <w:rsid w:val="00A148A9"/>
    <w:rsid w:val="00AD12C2"/>
    <w:rsid w:val="00D26BDF"/>
    <w:rsid w:val="00E3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B3A7C"/>
  </w:style>
  <w:style w:type="character" w:styleId="Textoennegrita">
    <w:name w:val="Strong"/>
    <w:basedOn w:val="Fuentedeprrafopredeter"/>
    <w:uiPriority w:val="22"/>
    <w:qFormat/>
    <w:rsid w:val="008B3A7C"/>
    <w:rPr>
      <w:b/>
      <w:bCs/>
    </w:rPr>
  </w:style>
  <w:style w:type="character" w:styleId="Hipervnculo">
    <w:name w:val="Hyperlink"/>
    <w:basedOn w:val="Fuentedeprrafopredeter"/>
    <w:uiPriority w:val="99"/>
    <w:semiHidden/>
    <w:unhideWhenUsed/>
    <w:rsid w:val="008B3A7C"/>
    <w:rPr>
      <w:color w:val="0000FF"/>
      <w:u w:val="single"/>
    </w:rPr>
  </w:style>
  <w:style w:type="paragraph" w:styleId="NormalWeb">
    <w:name w:val="Normal (Web)"/>
    <w:basedOn w:val="Normal"/>
    <w:uiPriority w:val="99"/>
    <w:unhideWhenUsed/>
    <w:rsid w:val="008B3A7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8B3A7C"/>
  </w:style>
  <w:style w:type="character" w:styleId="Textoennegrita">
    <w:name w:val="Strong"/>
    <w:basedOn w:val="Fuentedeprrafopredeter"/>
    <w:uiPriority w:val="22"/>
    <w:qFormat/>
    <w:rsid w:val="008B3A7C"/>
    <w:rPr>
      <w:b/>
      <w:bCs/>
    </w:rPr>
  </w:style>
  <w:style w:type="character" w:styleId="Hipervnculo">
    <w:name w:val="Hyperlink"/>
    <w:basedOn w:val="Fuentedeprrafopredeter"/>
    <w:uiPriority w:val="99"/>
    <w:semiHidden/>
    <w:unhideWhenUsed/>
    <w:rsid w:val="008B3A7C"/>
    <w:rPr>
      <w:color w:val="0000FF"/>
      <w:u w:val="single"/>
    </w:rPr>
  </w:style>
  <w:style w:type="paragraph" w:styleId="NormalWeb">
    <w:name w:val="Normal (Web)"/>
    <w:basedOn w:val="Normal"/>
    <w:uiPriority w:val="99"/>
    <w:unhideWhenUsed/>
    <w:rsid w:val="008B3A7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2403">
      <w:bodyDiv w:val="1"/>
      <w:marLeft w:val="0"/>
      <w:marRight w:val="0"/>
      <w:marTop w:val="0"/>
      <w:marBottom w:val="0"/>
      <w:divBdr>
        <w:top w:val="none" w:sz="0" w:space="0" w:color="auto"/>
        <w:left w:val="none" w:sz="0" w:space="0" w:color="auto"/>
        <w:bottom w:val="none" w:sz="0" w:space="0" w:color="auto"/>
        <w:right w:val="none" w:sz="0" w:space="0" w:color="auto"/>
      </w:divBdr>
      <w:divsChild>
        <w:div w:id="2042394339">
          <w:marLeft w:val="0"/>
          <w:marRight w:val="0"/>
          <w:marTop w:val="0"/>
          <w:marBottom w:val="0"/>
          <w:divBdr>
            <w:top w:val="none" w:sz="0" w:space="0" w:color="auto"/>
            <w:left w:val="none" w:sz="0" w:space="0" w:color="auto"/>
            <w:bottom w:val="none" w:sz="0" w:space="0" w:color="auto"/>
            <w:right w:val="none" w:sz="0" w:space="0" w:color="auto"/>
          </w:divBdr>
        </w:div>
        <w:div w:id="488911206">
          <w:marLeft w:val="0"/>
          <w:marRight w:val="0"/>
          <w:marTop w:val="0"/>
          <w:marBottom w:val="0"/>
          <w:divBdr>
            <w:top w:val="none" w:sz="0" w:space="0" w:color="auto"/>
            <w:left w:val="none" w:sz="0" w:space="0" w:color="auto"/>
            <w:bottom w:val="none" w:sz="0" w:space="0" w:color="auto"/>
            <w:right w:val="none" w:sz="0" w:space="0" w:color="auto"/>
          </w:divBdr>
        </w:div>
        <w:div w:id="594290035">
          <w:marLeft w:val="0"/>
          <w:marRight w:val="0"/>
          <w:marTop w:val="0"/>
          <w:marBottom w:val="0"/>
          <w:divBdr>
            <w:top w:val="none" w:sz="0" w:space="0" w:color="auto"/>
            <w:left w:val="none" w:sz="0" w:space="0" w:color="auto"/>
            <w:bottom w:val="none" w:sz="0" w:space="0" w:color="auto"/>
            <w:right w:val="none" w:sz="0" w:space="0" w:color="auto"/>
          </w:divBdr>
        </w:div>
        <w:div w:id="1058557944">
          <w:marLeft w:val="0"/>
          <w:marRight w:val="0"/>
          <w:marTop w:val="0"/>
          <w:marBottom w:val="0"/>
          <w:divBdr>
            <w:top w:val="none" w:sz="0" w:space="0" w:color="auto"/>
            <w:left w:val="none" w:sz="0" w:space="0" w:color="auto"/>
            <w:bottom w:val="none" w:sz="0" w:space="0" w:color="auto"/>
            <w:right w:val="none" w:sz="0" w:space="0" w:color="auto"/>
          </w:divBdr>
        </w:div>
        <w:div w:id="1848254933">
          <w:marLeft w:val="0"/>
          <w:marRight w:val="0"/>
          <w:marTop w:val="0"/>
          <w:marBottom w:val="0"/>
          <w:divBdr>
            <w:top w:val="none" w:sz="0" w:space="0" w:color="auto"/>
            <w:left w:val="none" w:sz="0" w:space="0" w:color="auto"/>
            <w:bottom w:val="none" w:sz="0" w:space="0" w:color="auto"/>
            <w:right w:val="none" w:sz="0" w:space="0" w:color="auto"/>
          </w:divBdr>
        </w:div>
        <w:div w:id="190120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prudencia.poder-judicial.go.cr/SCIJ_PJ/busqueda/jurisprudencia/jur_Documento.aspx?param1=ReferenciaSent&amp;nValor1=1&amp;nValor2=265344&amp;strTipM=RP&amp;lResultado=2"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urisprudencia.poder-judicial.go.cr/SCIJ_PJ/busqueda/jurisprudencia/jur_ficha_sentencia.aspx?nValor2=265344&amp;param1=Ficha_Sentencia&amp;nValor1=1&amp;tem1=Alcance%20jurisprudencial%20de%20los%20derechos%20de%20la%20v%C3%ADctima%20en%20el%20proceso%20penal&amp;strTipM=T&amp;lResultado=1&amp;strTem=ReTem#down" TargetMode="External"/><Relationship Id="rId11" Type="http://schemas.openxmlformats.org/officeDocument/2006/relationships/theme" Target="theme/theme1.xml"/><Relationship Id="rId5" Type="http://schemas.openxmlformats.org/officeDocument/2006/relationships/hyperlink" Target="http://jurisprudencia.poder-judicial.go.cr/SCIJ_PJ/busqueda/jurisprudencia/jur_ficha_sentencia.aspx?nValor2=265344&amp;param1=Ficha_Sentencia&amp;nValor1=1&amp;tem1=Alcance%20jurisprudencial%20de%20los%20derechos%20de%20la%20v%C3%ADctima%20en%20el%20proceso%20penal&amp;strTipM=T&amp;lResultado=1&amp;strTem=ReT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risprudencia.poder-judicial.go.cr/SCIJ_PJ/busqueda/jurisprudencia/jur_Documento.aspx?param1=Detalle_Sentencia&amp;nValor1=1&amp;nValor2=265344&amp;nValor3=60650&amp;tem1=Alcance%20jurisprudencial%20de%20los%20derechos%20de%20la%20v%C3%ADctima%20en%20el%20proceso%20penal&amp;strTipM=E1&amp;lResultado=2&amp;pgn=&amp;pgrt=&amp;nTermino=&amp;nTesauro=&amp;tem4=Sala%20Constitucional&amp;strLib=&amp;spe=&amp;strTem=&amp;strDi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2</cp:revision>
  <dcterms:created xsi:type="dcterms:W3CDTF">2014-05-26T01:14:00Z</dcterms:created>
  <dcterms:modified xsi:type="dcterms:W3CDTF">2014-05-26T01:14:00Z</dcterms:modified>
</cp:coreProperties>
</file>